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631" w:rsidRPr="004A7555" w:rsidRDefault="008A7631" w:rsidP="002638ED">
      <w:pPr>
        <w:ind w:firstLine="720"/>
        <w:rPr>
          <w:rFonts w:ascii="Times New Roman" w:hAnsi="Times New Roman" w:cs="Times New Roman"/>
          <w:sz w:val="28"/>
          <w:szCs w:val="28"/>
        </w:rPr>
      </w:pPr>
      <w:r w:rsidRPr="002638ED">
        <w:rPr>
          <w:rFonts w:ascii="Times New Roman" w:hAnsi="Times New Roman" w:cs="Times New Roman"/>
          <w:b/>
          <w:i/>
          <w:color w:val="C00000"/>
          <w:sz w:val="28"/>
          <w:szCs w:val="28"/>
        </w:rPr>
        <w:t>Conform legii 62/2018</w:t>
      </w:r>
      <w:r w:rsidRPr="004A7555">
        <w:rPr>
          <w:rFonts w:ascii="Times New Roman" w:hAnsi="Times New Roman" w:cs="Times New Roman"/>
          <w:sz w:val="28"/>
          <w:szCs w:val="28"/>
        </w:rPr>
        <w:t xml:space="preserve"> privind combatrea buruienii ambrozia,proprietarii sau deținătorii de terenuri, administratorii drumurilor publice, căilor ferate, cursurilor de apă, lacurilor, sistemelor de irigații și ai bazinelor piscicole </w:t>
      </w:r>
      <w:r w:rsidRPr="002638ED">
        <w:rPr>
          <w:rFonts w:ascii="Times New Roman" w:hAnsi="Times New Roman" w:cs="Times New Roman"/>
          <w:b/>
          <w:color w:val="C00000"/>
          <w:sz w:val="28"/>
          <w:szCs w:val="28"/>
        </w:rPr>
        <w:t>au obligația</w:t>
      </w:r>
      <w:r w:rsidRPr="004A7555">
        <w:rPr>
          <w:rFonts w:ascii="Times New Roman" w:hAnsi="Times New Roman" w:cs="Times New Roman"/>
          <w:sz w:val="28"/>
          <w:szCs w:val="28"/>
        </w:rPr>
        <w:t xml:space="preserve"> să desfășoare lucrări de prevenire, combatere și distrugere a buruienii ambrozia, denumită științific Ambrosia artemisiifolia, pentru evitarea instalării și răspândirii vegetației adventive invazive și eliminarea ei în cazul prezenței pe terenurile intravilane sau extravilane.</w:t>
      </w:r>
    </w:p>
    <w:p w:rsidR="008A7631" w:rsidRDefault="008A7631" w:rsidP="008A7631">
      <w:pPr>
        <w:rPr>
          <w:rFonts w:ascii="Times New Roman" w:hAnsi="Times New Roman" w:cs="Times New Roman"/>
          <w:b/>
          <w:sz w:val="28"/>
          <w:szCs w:val="28"/>
        </w:rPr>
      </w:pPr>
      <w:r w:rsidRPr="004A7555">
        <w:rPr>
          <w:rFonts w:ascii="Times New Roman" w:hAnsi="Times New Roman" w:cs="Times New Roman"/>
          <w:sz w:val="28"/>
          <w:szCs w:val="28"/>
        </w:rPr>
        <w:t>În scopul distrugerii buruienii ambrozia și al prevenirii răspândirii acesteia</w:t>
      </w:r>
      <w:r w:rsidRPr="004A7555">
        <w:rPr>
          <w:rFonts w:ascii="Times New Roman" w:hAnsi="Times New Roman" w:cs="Times New Roman"/>
          <w:b/>
          <w:sz w:val="28"/>
          <w:szCs w:val="28"/>
        </w:rPr>
        <w:t>, proprietarii sau deținătorii</w:t>
      </w:r>
      <w:r w:rsidRPr="004A7555">
        <w:rPr>
          <w:rFonts w:ascii="Times New Roman" w:hAnsi="Times New Roman" w:cs="Times New Roman"/>
          <w:sz w:val="28"/>
          <w:szCs w:val="28"/>
        </w:rPr>
        <w:t xml:space="preserve"> </w:t>
      </w:r>
      <w:r w:rsidRPr="004A7555">
        <w:rPr>
          <w:rFonts w:ascii="Times New Roman" w:hAnsi="Times New Roman" w:cs="Times New Roman"/>
          <w:b/>
          <w:sz w:val="28"/>
          <w:szCs w:val="28"/>
        </w:rPr>
        <w:t>de terenuri</w:t>
      </w:r>
      <w:r w:rsidRPr="004A7555">
        <w:rPr>
          <w:rFonts w:ascii="Times New Roman" w:hAnsi="Times New Roman" w:cs="Times New Roman"/>
          <w:sz w:val="28"/>
          <w:szCs w:val="28"/>
        </w:rPr>
        <w:t xml:space="preserve">, administratorii drumurilor publice, căilor ferate, cursurilor de apă, lacurilor, sistemelor de irigații și ai bazinelor piscicole </w:t>
      </w:r>
      <w:r w:rsidRPr="004A7555">
        <w:rPr>
          <w:rFonts w:ascii="Times New Roman" w:hAnsi="Times New Roman" w:cs="Times New Roman"/>
          <w:b/>
          <w:sz w:val="28"/>
          <w:szCs w:val="28"/>
        </w:rPr>
        <w:t>vor desfășura periodic, în perioada cuprinsă între răsărirea acestei plante și apariția primelor inflorescențe, respectiv cel târziu până la data de 30 iunie a fiecărui an, lucrări de întreținere a terenurilor prin cosire, smulgere, erbicidare sau alte lucrări și metode specifice. Aceste măsuri se mențin până la sfârșitul perioadei de vegetație a buruienii ambrozia.</w:t>
      </w:r>
    </w:p>
    <w:p w:rsidR="00FF1F6C" w:rsidRPr="004A7555" w:rsidRDefault="00FF1F6C" w:rsidP="008A7631">
      <w:pPr>
        <w:rPr>
          <w:rFonts w:ascii="Times New Roman" w:hAnsi="Times New Roman" w:cs="Times New Roman"/>
          <w:b/>
          <w:sz w:val="28"/>
          <w:szCs w:val="28"/>
        </w:rPr>
      </w:pPr>
    </w:p>
    <w:p w:rsidR="008101D1" w:rsidRPr="002638ED" w:rsidRDefault="008101D1" w:rsidP="00FF1F6C">
      <w:pPr>
        <w:ind w:firstLine="720"/>
        <w:rPr>
          <w:rFonts w:ascii="Times New Roman" w:hAnsi="Times New Roman" w:cs="Times New Roman"/>
          <w:b/>
          <w:i/>
          <w:color w:val="C00000"/>
          <w:sz w:val="28"/>
          <w:szCs w:val="28"/>
        </w:rPr>
      </w:pPr>
      <w:r w:rsidRPr="002638ED">
        <w:rPr>
          <w:rFonts w:ascii="Times New Roman" w:hAnsi="Times New Roman" w:cs="Times New Roman"/>
          <w:b/>
          <w:i/>
          <w:color w:val="C00000"/>
          <w:sz w:val="28"/>
          <w:szCs w:val="28"/>
        </w:rPr>
        <w:t xml:space="preserve">Unde poate fi întâlnită/răspândită ? </w:t>
      </w:r>
      <w:r w:rsidR="00FF1F6C" w:rsidRPr="002638ED">
        <w:rPr>
          <w:rFonts w:ascii="Times New Roman" w:hAnsi="Times New Roman" w:cs="Times New Roman"/>
          <w:b/>
          <w:i/>
          <w:color w:val="C00000"/>
          <w:sz w:val="28"/>
          <w:szCs w:val="28"/>
        </w:rPr>
        <w:t xml:space="preserve"> </w:t>
      </w:r>
    </w:p>
    <w:p w:rsidR="00FF1F6C" w:rsidRDefault="00FF1F6C" w:rsidP="008A7631">
      <w:pPr>
        <w:rPr>
          <w:rFonts w:ascii="Times New Roman" w:hAnsi="Times New Roman" w:cs="Times New Roman"/>
          <w:sz w:val="28"/>
          <w:szCs w:val="28"/>
        </w:rPr>
      </w:pPr>
      <w:r>
        <w:rPr>
          <w:rFonts w:ascii="Times New Roman" w:hAnsi="Times New Roman" w:cs="Times New Roman"/>
          <w:b/>
          <w:i/>
          <w:sz w:val="28"/>
          <w:szCs w:val="28"/>
        </w:rPr>
        <w:tab/>
      </w:r>
      <w:r w:rsidR="008101D1" w:rsidRPr="004A7555">
        <w:rPr>
          <w:rFonts w:ascii="Times New Roman" w:hAnsi="Times New Roman" w:cs="Times New Roman"/>
          <w:sz w:val="28"/>
          <w:szCs w:val="28"/>
        </w:rPr>
        <w:t xml:space="preserve">Ambrozia este una dintre cele mai invazive plante existente pe teritoriul ţării noastre, fiind extrem de adaptabilă la condiţiile pedoclimatice. În România, ambrozia este răspândită în aproape toate zonele (cu excepția zonei dealurilor înalte și a zonei montane), preferând solurile nisipoase, mai puțin fertile, ușor alcaline. </w:t>
      </w:r>
    </w:p>
    <w:p w:rsidR="008101D1" w:rsidRPr="002638ED" w:rsidRDefault="008101D1" w:rsidP="00FF1F6C">
      <w:pPr>
        <w:ind w:firstLine="720"/>
        <w:rPr>
          <w:rFonts w:ascii="Times New Roman" w:hAnsi="Times New Roman" w:cs="Times New Roman"/>
          <w:b/>
          <w:i/>
          <w:color w:val="4F6228" w:themeColor="accent3" w:themeShade="80"/>
          <w:sz w:val="28"/>
          <w:szCs w:val="28"/>
        </w:rPr>
      </w:pPr>
      <w:r w:rsidRPr="002638ED">
        <w:rPr>
          <w:rFonts w:ascii="Times New Roman" w:hAnsi="Times New Roman" w:cs="Times New Roman"/>
          <w:b/>
          <w:i/>
          <w:color w:val="4F6228" w:themeColor="accent3" w:themeShade="80"/>
          <w:sz w:val="28"/>
          <w:szCs w:val="28"/>
        </w:rPr>
        <w:t>Crește spontan pe terenurile lăsate pârloagă, în principal de-a lungul c</w:t>
      </w:r>
      <w:r w:rsidR="00FF1F6C" w:rsidRPr="002638ED">
        <w:rPr>
          <w:rFonts w:ascii="Times New Roman" w:hAnsi="Times New Roman" w:cs="Times New Roman"/>
          <w:b/>
          <w:i/>
          <w:color w:val="4F6228" w:themeColor="accent3" w:themeShade="80"/>
          <w:sz w:val="28"/>
          <w:szCs w:val="28"/>
        </w:rPr>
        <w:t>ăilor ferate, a drumurilor</w:t>
      </w:r>
      <w:r w:rsidRPr="002638ED">
        <w:rPr>
          <w:rFonts w:ascii="Times New Roman" w:hAnsi="Times New Roman" w:cs="Times New Roman"/>
          <w:b/>
          <w:i/>
          <w:color w:val="4F6228" w:themeColor="accent3" w:themeShade="80"/>
          <w:sz w:val="28"/>
          <w:szCs w:val="28"/>
        </w:rPr>
        <w:t>, pe marginea apelor curgătoare, a lacurilor, pe marginea pădurilor, în apropierea dărâmăturilor, respectiv pe terenurile lipsite de vegetație și prost întreținute, dar și în</w:t>
      </w:r>
      <w:r w:rsidR="00FF1F6C" w:rsidRPr="002638ED">
        <w:rPr>
          <w:rFonts w:ascii="Times New Roman" w:hAnsi="Times New Roman" w:cs="Times New Roman"/>
          <w:b/>
          <w:i/>
          <w:color w:val="4F6228" w:themeColor="accent3" w:themeShade="80"/>
          <w:sz w:val="28"/>
          <w:szCs w:val="28"/>
        </w:rPr>
        <w:t xml:space="preserve"> grădini și parcuri neîngrijite, pe șantierele de construcții, </w:t>
      </w:r>
      <w:r w:rsidRPr="002638ED">
        <w:rPr>
          <w:rFonts w:ascii="Times New Roman" w:hAnsi="Times New Roman" w:cs="Times New Roman"/>
          <w:b/>
          <w:i/>
          <w:color w:val="4F6228" w:themeColor="accent3" w:themeShade="80"/>
          <w:sz w:val="28"/>
          <w:szCs w:val="28"/>
        </w:rPr>
        <w:t>în zone unde s-a depozitat pământ excavat, în culturile de cereale şi de floarea-soarelui, producând pagube semnificative de recoltă.</w:t>
      </w:r>
    </w:p>
    <w:p w:rsidR="008A7631" w:rsidRPr="00FF1F6C" w:rsidRDefault="008A7631" w:rsidP="008A7631">
      <w:pPr>
        <w:rPr>
          <w:rFonts w:ascii="Times New Roman" w:hAnsi="Times New Roman" w:cs="Times New Roman"/>
          <w:b/>
          <w:color w:val="FF0000"/>
          <w:sz w:val="28"/>
          <w:szCs w:val="28"/>
        </w:rPr>
      </w:pPr>
      <w:r w:rsidRPr="004A7555">
        <w:rPr>
          <w:rFonts w:ascii="Times New Roman" w:hAnsi="Times New Roman" w:cs="Times New Roman"/>
          <w:sz w:val="28"/>
          <w:szCs w:val="28"/>
        </w:rPr>
        <w:t xml:space="preserve">Ambrosia artemisiifolia </w:t>
      </w:r>
      <w:r w:rsidRPr="00FF1F6C">
        <w:rPr>
          <w:rFonts w:ascii="Times New Roman" w:hAnsi="Times New Roman" w:cs="Times New Roman"/>
          <w:b/>
          <w:color w:val="FF0000"/>
          <w:sz w:val="28"/>
          <w:szCs w:val="28"/>
        </w:rPr>
        <w:t>este o plantă cu talia semiînaltă de 50 -100 cm înălțime, uneori chiar mai înaltă la maturitate, cu rădăcina pivotantă foarte dezvoltată, de 1,2 – 1,5 metri. Toată planta este păroasă cu tulpina puternic ramificată, având aspect de tufă și diametru mare la bază.</w:t>
      </w:r>
    </w:p>
    <w:p w:rsidR="008A7631" w:rsidRDefault="008A7631" w:rsidP="008A7631">
      <w:pPr>
        <w:rPr>
          <w:rFonts w:ascii="Times New Roman" w:hAnsi="Times New Roman" w:cs="Times New Roman"/>
          <w:sz w:val="28"/>
          <w:szCs w:val="28"/>
        </w:rPr>
      </w:pPr>
      <w:r w:rsidRPr="002638ED">
        <w:rPr>
          <w:rFonts w:ascii="Times New Roman" w:hAnsi="Times New Roman" w:cs="Times New Roman"/>
          <w:b/>
          <w:sz w:val="28"/>
          <w:szCs w:val="28"/>
        </w:rPr>
        <w:t>Buruiana ambrozia</w:t>
      </w:r>
      <w:r w:rsidRPr="004A7555">
        <w:rPr>
          <w:rFonts w:ascii="Times New Roman" w:hAnsi="Times New Roman" w:cs="Times New Roman"/>
          <w:sz w:val="28"/>
          <w:szCs w:val="28"/>
        </w:rPr>
        <w:t xml:space="preserve"> produce mari cantități de polen începând de la </w:t>
      </w:r>
      <w:r w:rsidRPr="002638ED">
        <w:rPr>
          <w:rFonts w:ascii="Times New Roman" w:hAnsi="Times New Roman" w:cs="Times New Roman"/>
          <w:color w:val="00B0F0"/>
          <w:sz w:val="28"/>
          <w:szCs w:val="28"/>
        </w:rPr>
        <w:t>mijlocul lunii iulie</w:t>
      </w:r>
      <w:r w:rsidRPr="004A7555">
        <w:rPr>
          <w:rFonts w:ascii="Times New Roman" w:hAnsi="Times New Roman" w:cs="Times New Roman"/>
          <w:sz w:val="28"/>
          <w:szCs w:val="28"/>
        </w:rPr>
        <w:t>, în funcție de condițiile pedoclimatice și se încheie spre finalul lunii septembrie. În verile călduroase, polenul este răspândit de vânt la distanțe foarte mari, cu precădere în verile secetoase.</w:t>
      </w:r>
    </w:p>
    <w:p w:rsidR="00FF1F6C" w:rsidRPr="004A7555" w:rsidRDefault="00FF1F6C" w:rsidP="008A7631">
      <w:pPr>
        <w:rPr>
          <w:rFonts w:ascii="Times New Roman" w:hAnsi="Times New Roman" w:cs="Times New Roman"/>
          <w:sz w:val="28"/>
          <w:szCs w:val="28"/>
        </w:rPr>
      </w:pPr>
    </w:p>
    <w:p w:rsidR="00FF1F6C" w:rsidRPr="002638ED" w:rsidRDefault="008A7631" w:rsidP="008A7631">
      <w:pPr>
        <w:rPr>
          <w:rFonts w:ascii="Times New Roman" w:hAnsi="Times New Roman" w:cs="Times New Roman"/>
          <w:b/>
          <w:i/>
          <w:color w:val="C00000"/>
          <w:sz w:val="28"/>
          <w:szCs w:val="28"/>
        </w:rPr>
      </w:pPr>
      <w:r w:rsidRPr="002638ED">
        <w:rPr>
          <w:rFonts w:ascii="Times New Roman" w:hAnsi="Times New Roman" w:cs="Times New Roman"/>
          <w:b/>
          <w:i/>
          <w:color w:val="C00000"/>
          <w:sz w:val="28"/>
          <w:szCs w:val="28"/>
        </w:rPr>
        <w:t xml:space="preserve">Cine trebuie să distrugă buruiana ambrozia ? </w:t>
      </w:r>
    </w:p>
    <w:p w:rsidR="008101D1" w:rsidRDefault="008A7631" w:rsidP="008A7631">
      <w:pPr>
        <w:rPr>
          <w:rFonts w:ascii="Times New Roman" w:hAnsi="Times New Roman" w:cs="Times New Roman"/>
          <w:sz w:val="28"/>
          <w:szCs w:val="28"/>
        </w:rPr>
      </w:pPr>
      <w:r w:rsidRPr="004A7555">
        <w:rPr>
          <w:rFonts w:ascii="Times New Roman" w:hAnsi="Times New Roman" w:cs="Times New Roman"/>
          <w:sz w:val="28"/>
          <w:szCs w:val="28"/>
        </w:rPr>
        <w:t>În conformitate cu prevederile art. 1 alineatelor (1) – (3) din Legea nr. 62/2018 privind combaterea buruienii ambrozia, distrugerea acestei buruieni se face de către toți proprietarii sau deținătorii de terenuri, administratorii drumurilor publice, căilor ferate, cursurilor de apă, lacurilor, sistemelor de irigații și ai bazinelor piscicole, precum și beneficiarii lucrărilor de construcții, unde au fost identificate focare de infestare. Aceștia au obligația ca după distrugerea buruienii să informeze în scris autoritatea administrației publice locale pe raza căruia se află terenul infestat, în vederea verificării aplicării lucrărilor de combatere.</w:t>
      </w:r>
    </w:p>
    <w:p w:rsidR="00FF1F6C" w:rsidRDefault="00FF1F6C" w:rsidP="008A7631">
      <w:pPr>
        <w:rPr>
          <w:rFonts w:ascii="Times New Roman" w:hAnsi="Times New Roman" w:cs="Times New Roman"/>
          <w:sz w:val="28"/>
          <w:szCs w:val="28"/>
        </w:rPr>
      </w:pPr>
    </w:p>
    <w:p w:rsidR="00FF1F6C" w:rsidRDefault="004C2FB8" w:rsidP="008A763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440930" cy="3749040"/>
            <wp:effectExtent l="19050" t="0" r="7620" b="0"/>
            <wp:docPr id="5" name="Picture 3" descr="C:\Users\Admin\Desktop\man-lawn-mower-vector-drawing-lawnmower-city-park-3239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an-lawn-mower-vector-drawing-lawnmower-city-park-32397041.jpg"/>
                    <pic:cNvPicPr>
                      <a:picLocks noChangeAspect="1" noChangeArrowheads="1"/>
                    </pic:cNvPicPr>
                  </pic:nvPicPr>
                  <pic:blipFill>
                    <a:blip r:embed="rId4"/>
                    <a:srcRect/>
                    <a:stretch>
                      <a:fillRect/>
                    </a:stretch>
                  </pic:blipFill>
                  <pic:spPr bwMode="auto">
                    <a:xfrm>
                      <a:off x="0" y="0"/>
                      <a:ext cx="7440930" cy="3749040"/>
                    </a:xfrm>
                    <a:prstGeom prst="rect">
                      <a:avLst/>
                    </a:prstGeom>
                    <a:noFill/>
                    <a:ln w="9525">
                      <a:noFill/>
                      <a:miter lim="800000"/>
                      <a:headEnd/>
                      <a:tailEnd/>
                    </a:ln>
                  </pic:spPr>
                </pic:pic>
              </a:graphicData>
            </a:graphic>
          </wp:inline>
        </w:drawing>
      </w:r>
    </w:p>
    <w:p w:rsidR="008101D1" w:rsidRPr="002638ED" w:rsidRDefault="008A7631" w:rsidP="008A7631">
      <w:pPr>
        <w:rPr>
          <w:rFonts w:ascii="Times New Roman" w:hAnsi="Times New Roman" w:cs="Times New Roman"/>
          <w:b/>
          <w:i/>
          <w:color w:val="C00000"/>
          <w:sz w:val="28"/>
          <w:szCs w:val="28"/>
        </w:rPr>
      </w:pPr>
      <w:r w:rsidRPr="002638ED">
        <w:rPr>
          <w:rFonts w:ascii="Times New Roman" w:hAnsi="Times New Roman" w:cs="Times New Roman"/>
          <w:i/>
          <w:sz w:val="28"/>
          <w:szCs w:val="28"/>
        </w:rPr>
        <w:t xml:space="preserve"> </w:t>
      </w:r>
      <w:r w:rsidRPr="002638ED">
        <w:rPr>
          <w:rFonts w:ascii="Times New Roman" w:hAnsi="Times New Roman" w:cs="Times New Roman"/>
          <w:b/>
          <w:i/>
          <w:color w:val="C00000"/>
          <w:sz w:val="28"/>
          <w:szCs w:val="28"/>
        </w:rPr>
        <w:t>Când trebuie să fie distrusă buruiana ?</w:t>
      </w:r>
    </w:p>
    <w:p w:rsidR="008101D1" w:rsidRPr="004C2FB8" w:rsidRDefault="008A7631" w:rsidP="008A7631">
      <w:pPr>
        <w:rPr>
          <w:rFonts w:ascii="Times New Roman" w:hAnsi="Times New Roman" w:cs="Times New Roman"/>
          <w:i/>
          <w:sz w:val="28"/>
          <w:szCs w:val="28"/>
        </w:rPr>
      </w:pPr>
      <w:r w:rsidRPr="004A7555">
        <w:rPr>
          <w:rFonts w:ascii="Times New Roman" w:hAnsi="Times New Roman" w:cs="Times New Roman"/>
          <w:sz w:val="28"/>
          <w:szCs w:val="28"/>
        </w:rPr>
        <w:t xml:space="preserve"> Buruiana ambrozia trebuie </w:t>
      </w:r>
      <w:r w:rsidRPr="002638ED">
        <w:rPr>
          <w:rFonts w:ascii="Times New Roman" w:hAnsi="Times New Roman" w:cs="Times New Roman"/>
          <w:i/>
          <w:sz w:val="28"/>
          <w:szCs w:val="28"/>
        </w:rPr>
        <w:t>distrusă</w:t>
      </w:r>
      <w:r w:rsidRPr="002638ED">
        <w:rPr>
          <w:rFonts w:ascii="Times New Roman" w:hAnsi="Times New Roman" w:cs="Times New Roman"/>
          <w:sz w:val="28"/>
          <w:szCs w:val="28"/>
        </w:rPr>
        <w:t xml:space="preserve"> </w:t>
      </w:r>
      <w:r w:rsidRPr="002638ED">
        <w:rPr>
          <w:rFonts w:ascii="Times New Roman" w:hAnsi="Times New Roman" w:cs="Times New Roman"/>
          <w:i/>
          <w:sz w:val="28"/>
          <w:szCs w:val="28"/>
        </w:rPr>
        <w:t>în perioada cuprinsă între răsărire și apariția primelor inflorescențe, respectiv până la data de 30 iunie a fiecărui an</w:t>
      </w:r>
      <w:r w:rsidRPr="004C2FB8">
        <w:rPr>
          <w:rFonts w:ascii="Times New Roman" w:hAnsi="Times New Roman" w:cs="Times New Roman"/>
          <w:i/>
          <w:sz w:val="28"/>
          <w:szCs w:val="28"/>
        </w:rPr>
        <w:t xml:space="preserve">. În cazul reapariției focarelor de infestare se recomandă efectuarea repetată a lucrărilor de combatere pe întreaga perioadă a anului, evitându-se astfel apariția inflorescențelor. </w:t>
      </w:r>
    </w:p>
    <w:p w:rsidR="004018F3" w:rsidRDefault="004C2FB8" w:rsidP="008A7631">
      <w:pP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815590" cy="1348740"/>
            <wp:effectExtent l="19050" t="0" r="3810" b="0"/>
            <wp:docPr id="6" name="Picture 4"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ownload.jpg"/>
                    <pic:cNvPicPr>
                      <a:picLocks noChangeAspect="1" noChangeArrowheads="1"/>
                    </pic:cNvPicPr>
                  </pic:nvPicPr>
                  <pic:blipFill>
                    <a:blip r:embed="rId5"/>
                    <a:srcRect/>
                    <a:stretch>
                      <a:fillRect/>
                    </a:stretch>
                  </pic:blipFill>
                  <pic:spPr bwMode="auto">
                    <a:xfrm>
                      <a:off x="0" y="0"/>
                      <a:ext cx="2815590" cy="1348740"/>
                    </a:xfrm>
                    <a:prstGeom prst="rect">
                      <a:avLst/>
                    </a:prstGeom>
                    <a:noFill/>
                    <a:ln w="9525">
                      <a:noFill/>
                      <a:miter lim="800000"/>
                      <a:headEnd/>
                      <a:tailEnd/>
                    </a:ln>
                  </pic:spPr>
                </pic:pic>
              </a:graphicData>
            </a:graphic>
          </wp:inline>
        </w:drawing>
      </w:r>
    </w:p>
    <w:p w:rsidR="008101D1" w:rsidRPr="002638ED" w:rsidRDefault="008A7631" w:rsidP="008A7631">
      <w:pPr>
        <w:rPr>
          <w:rFonts w:ascii="Times New Roman" w:hAnsi="Times New Roman" w:cs="Times New Roman"/>
          <w:b/>
          <w:i/>
          <w:color w:val="C00000"/>
          <w:sz w:val="28"/>
          <w:szCs w:val="28"/>
        </w:rPr>
      </w:pPr>
      <w:r w:rsidRPr="002638ED">
        <w:rPr>
          <w:rFonts w:ascii="Times New Roman" w:hAnsi="Times New Roman" w:cs="Times New Roman"/>
          <w:b/>
          <w:i/>
          <w:color w:val="C00000"/>
          <w:sz w:val="28"/>
          <w:szCs w:val="28"/>
        </w:rPr>
        <w:t xml:space="preserve">Cine trebuie să aplice sancțiunile pentru proprietarii/ deținătorii/ administratorii/ beneficiarii de terenuri care nu aplică măsurile necesare de combatere ? </w:t>
      </w:r>
    </w:p>
    <w:p w:rsidR="008A7631" w:rsidRPr="004A7555" w:rsidRDefault="008A7631" w:rsidP="008A7631">
      <w:pPr>
        <w:rPr>
          <w:rFonts w:ascii="Times New Roman" w:hAnsi="Times New Roman" w:cs="Times New Roman"/>
          <w:sz w:val="28"/>
          <w:szCs w:val="28"/>
        </w:rPr>
      </w:pPr>
      <w:r w:rsidRPr="004A7555">
        <w:rPr>
          <w:rFonts w:ascii="Times New Roman" w:hAnsi="Times New Roman" w:cs="Times New Roman"/>
          <w:sz w:val="28"/>
          <w:szCs w:val="28"/>
        </w:rPr>
        <w:t>Potrivit prevederilor art. 5 din Legea nr. 62/2018 și ale art. 4 alin. (1) din Hotărârea Guvernului nr. 707/2018, verificarea și constatarea nerespectării obligațiilor de combatere a buruienii ambrozia, precum și aplicarea sancțiunilor se face de către o Comisie mixtă constiuită prin ordin al Prefectului. Informarea Comisiei mixte referitoare la situația proprietarilor care nu au luat măsurile necesare de combatere se face în timp util de către autoritățile administrației publice locale. De asemenea, autoritățile administrației publice locale vor transmite în prealabil o somație către proprietarii sau deținătorii de terenuri, administratorii drumurilor publice, căilor ferate, cursurilor de apă, lacurilor, sistemelor de irigații și ai bazinelor piscicole, precum și beneficiarii lucrărilor de construcți, pe ale căror suprafețe au fost depistate focare de infestare, prin care vor lua la cunoștință despre obligațiile ce le revin și sancțiunile care vor fi aplicabile în cazul nerespectării prevederilor</w:t>
      </w:r>
    </w:p>
    <w:p w:rsidR="008101D1" w:rsidRPr="002638ED" w:rsidRDefault="008101D1" w:rsidP="008A7631">
      <w:pPr>
        <w:rPr>
          <w:rFonts w:ascii="Times New Roman" w:hAnsi="Times New Roman" w:cs="Times New Roman"/>
          <w:b/>
          <w:i/>
          <w:color w:val="C00000"/>
          <w:sz w:val="28"/>
          <w:szCs w:val="28"/>
        </w:rPr>
      </w:pPr>
      <w:r w:rsidRPr="002638ED">
        <w:rPr>
          <w:rFonts w:ascii="Times New Roman" w:hAnsi="Times New Roman" w:cs="Times New Roman"/>
          <w:b/>
          <w:i/>
          <w:color w:val="C00000"/>
          <w:sz w:val="28"/>
          <w:szCs w:val="28"/>
        </w:rPr>
        <w:t>Ce sancțiuni se vor aplica pentru proprietarii/ deținătorii/ administratorii/ beneficiarii de terenuri care nu respectă prevederile legale ?</w:t>
      </w:r>
    </w:p>
    <w:p w:rsidR="008101D1" w:rsidRPr="004A7555" w:rsidRDefault="008101D1" w:rsidP="008A7631">
      <w:pPr>
        <w:rPr>
          <w:rFonts w:ascii="Times New Roman" w:hAnsi="Times New Roman" w:cs="Times New Roman"/>
          <w:b/>
          <w:sz w:val="28"/>
          <w:szCs w:val="28"/>
        </w:rPr>
      </w:pPr>
      <w:r w:rsidRPr="004A7555">
        <w:rPr>
          <w:rFonts w:ascii="Times New Roman" w:hAnsi="Times New Roman" w:cs="Times New Roman"/>
          <w:sz w:val="28"/>
          <w:szCs w:val="28"/>
        </w:rPr>
        <w:t xml:space="preserve"> Comisia numită prin ordin al prefectului efectuează două controale pe teren.  </w:t>
      </w:r>
      <w:r w:rsidRPr="004A7555">
        <w:rPr>
          <w:rFonts w:ascii="Times New Roman" w:hAnsi="Times New Roman" w:cs="Times New Roman"/>
          <w:b/>
          <w:sz w:val="28"/>
          <w:szCs w:val="28"/>
        </w:rPr>
        <w:t>Primul control îl efectuează în perioada 1 – 15 iulie a fiecărui an</w:t>
      </w:r>
      <w:r w:rsidRPr="004A7555">
        <w:rPr>
          <w:rFonts w:ascii="Times New Roman" w:hAnsi="Times New Roman" w:cs="Times New Roman"/>
          <w:sz w:val="28"/>
          <w:szCs w:val="28"/>
        </w:rPr>
        <w:t xml:space="preserve">, iar proprietarii care nu au aplicat măsuri de combatere sunt sancționați cu ”Avertisment”. </w:t>
      </w:r>
      <w:r w:rsidRPr="004A7555">
        <w:rPr>
          <w:rFonts w:ascii="Times New Roman" w:hAnsi="Times New Roman" w:cs="Times New Roman"/>
          <w:b/>
          <w:sz w:val="28"/>
          <w:szCs w:val="28"/>
        </w:rPr>
        <w:t xml:space="preserve">Cel de-al doilea control </w:t>
      </w:r>
      <w:r w:rsidRPr="004A7555">
        <w:rPr>
          <w:rFonts w:ascii="Times New Roman" w:hAnsi="Times New Roman" w:cs="Times New Roman"/>
          <w:sz w:val="28"/>
          <w:szCs w:val="28"/>
        </w:rPr>
        <w:t xml:space="preserve">este efectuat de către </w:t>
      </w:r>
      <w:r w:rsidRPr="004A7555">
        <w:rPr>
          <w:rFonts w:ascii="Times New Roman" w:hAnsi="Times New Roman" w:cs="Times New Roman"/>
          <w:b/>
          <w:sz w:val="28"/>
          <w:szCs w:val="28"/>
        </w:rPr>
        <w:t>comisie în perioada 16 – 31 iulie a fiecărui an</w:t>
      </w:r>
      <w:r w:rsidRPr="004A7555">
        <w:rPr>
          <w:rFonts w:ascii="Times New Roman" w:hAnsi="Times New Roman" w:cs="Times New Roman"/>
          <w:sz w:val="28"/>
          <w:szCs w:val="28"/>
        </w:rPr>
        <w:t xml:space="preserve"> și vizează proprietarii sau deținătorii de terenuri, administratorii drumurilor publice, căilor ferate, cursurilor de apă, lacurilor, sistemelor de irigații și ai bazinelor piscicole, precum și beneficiarii lucrărilor de construcții care nu au aplicat lucrările de combatere a buruienii nici după ce au primit sancțiunea de avertisment</w:t>
      </w:r>
      <w:r w:rsidRPr="004A7555">
        <w:rPr>
          <w:rFonts w:ascii="Times New Roman" w:hAnsi="Times New Roman" w:cs="Times New Roman"/>
          <w:b/>
          <w:sz w:val="28"/>
          <w:szCs w:val="28"/>
        </w:rPr>
        <w:t>. În acest caz, persoanele fizice se sancționează cu amendă de la 750 lei la 5.000 lei iar persoanele juridice cu amenzi de la 5.000 lei la 20.000 lei.</w:t>
      </w:r>
    </w:p>
    <w:p w:rsidR="008A7631" w:rsidRPr="004A7555" w:rsidRDefault="008A7631" w:rsidP="008A7631">
      <w:pPr>
        <w:spacing w:after="0" w:line="240" w:lineRule="auto"/>
        <w:jc w:val="both"/>
        <w:rPr>
          <w:rFonts w:ascii="Times New Roman" w:hAnsi="Times New Roman" w:cs="Times New Roman"/>
          <w:b/>
          <w:i/>
          <w:sz w:val="28"/>
          <w:szCs w:val="28"/>
          <w:lang w:val="ro-RO" w:eastAsia="ro-RO"/>
        </w:rPr>
      </w:pPr>
      <w:r w:rsidRPr="004A7555">
        <w:rPr>
          <w:rFonts w:ascii="Times New Roman" w:hAnsi="Times New Roman" w:cs="Times New Roman"/>
          <w:b/>
          <w:i/>
          <w:sz w:val="28"/>
          <w:szCs w:val="28"/>
          <w:lang w:val="ro-RO" w:eastAsia="ro-RO"/>
        </w:rPr>
        <w:t>Pentru recunoașterea buruienii ambrozia in diferite faze de vegetație vă transmitem alăturat prezentarea acestei plante și totodată vă informăm că puteți consulta site-ul Ministerului Agriculturii și Dezvoltării Rurale (</w:t>
      </w:r>
      <w:hyperlink r:id="rId6" w:history="1">
        <w:r w:rsidRPr="004A7555">
          <w:rPr>
            <w:rStyle w:val="Hyperlink"/>
            <w:rFonts w:ascii="Times New Roman" w:hAnsi="Times New Roman" w:cs="Times New Roman"/>
            <w:b/>
            <w:i/>
            <w:sz w:val="28"/>
            <w:szCs w:val="28"/>
            <w:lang w:val="ro-RO" w:eastAsia="ro-RO"/>
          </w:rPr>
          <w:t>www.madr.ro</w:t>
        </w:r>
      </w:hyperlink>
      <w:r w:rsidRPr="004A7555">
        <w:rPr>
          <w:rFonts w:ascii="Times New Roman" w:hAnsi="Times New Roman" w:cs="Times New Roman"/>
          <w:b/>
          <w:i/>
          <w:sz w:val="28"/>
          <w:szCs w:val="28"/>
          <w:lang w:val="ro-RO" w:eastAsia="ro-RO"/>
        </w:rPr>
        <w:t>), al Ministerului mediului, Apelor și pădurilor (</w:t>
      </w:r>
      <w:hyperlink r:id="rId7" w:history="1">
        <w:r w:rsidRPr="004A7555">
          <w:rPr>
            <w:rStyle w:val="Hyperlink"/>
            <w:rFonts w:ascii="Times New Roman" w:hAnsi="Times New Roman" w:cs="Times New Roman"/>
            <w:b/>
            <w:i/>
            <w:sz w:val="28"/>
            <w:szCs w:val="28"/>
            <w:lang w:val="ro-RO" w:eastAsia="ro-RO"/>
          </w:rPr>
          <w:t>www.mediu.ro</w:t>
        </w:r>
      </w:hyperlink>
      <w:r w:rsidRPr="004A7555">
        <w:rPr>
          <w:rFonts w:ascii="Times New Roman" w:hAnsi="Times New Roman" w:cs="Times New Roman"/>
          <w:b/>
          <w:i/>
          <w:sz w:val="28"/>
          <w:szCs w:val="28"/>
          <w:lang w:val="ro-RO" w:eastAsia="ro-RO"/>
        </w:rPr>
        <w:t>), precum și al Ministerului Sănătății (</w:t>
      </w:r>
      <w:hyperlink r:id="rId8" w:history="1">
        <w:r w:rsidRPr="004A7555">
          <w:rPr>
            <w:rStyle w:val="Hyperlink"/>
            <w:rFonts w:ascii="Times New Roman" w:hAnsi="Times New Roman" w:cs="Times New Roman"/>
            <w:b/>
            <w:i/>
            <w:sz w:val="28"/>
            <w:szCs w:val="28"/>
            <w:lang w:val="ro-RO" w:eastAsia="ro-RO"/>
          </w:rPr>
          <w:t>www.ms.ro</w:t>
        </w:r>
      </w:hyperlink>
      <w:r w:rsidRPr="004A7555">
        <w:rPr>
          <w:rFonts w:ascii="Times New Roman" w:hAnsi="Times New Roman" w:cs="Times New Roman"/>
          <w:b/>
          <w:i/>
          <w:sz w:val="28"/>
          <w:szCs w:val="28"/>
          <w:lang w:val="ro-RO" w:eastAsia="ro-RO"/>
        </w:rPr>
        <w:t>).</w:t>
      </w:r>
    </w:p>
    <w:p w:rsidR="00BD4C5B" w:rsidRDefault="00917D84">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5000" cy="3954780"/>
            <wp:effectExtent l="19050" t="0" r="0" b="0"/>
            <wp:wrapSquare wrapText="bothSides"/>
            <wp:docPr id="1" name="Picture 1" descr="Ambrosia Artemisiifolia L. (Floarea Pustei) - Ambrozia.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sia Artemisiifolia L. (Floarea Pustei) - Ambrozia.info"/>
                    <pic:cNvPicPr>
                      <a:picLocks noChangeAspect="1" noChangeArrowheads="1"/>
                    </pic:cNvPicPr>
                  </pic:nvPicPr>
                  <pic:blipFill>
                    <a:blip r:embed="rId9"/>
                    <a:srcRect/>
                    <a:stretch>
                      <a:fillRect/>
                    </a:stretch>
                  </pic:blipFill>
                  <pic:spPr bwMode="auto">
                    <a:xfrm>
                      <a:off x="0" y="0"/>
                      <a:ext cx="1905000" cy="3954780"/>
                    </a:xfrm>
                    <a:prstGeom prst="rect">
                      <a:avLst/>
                    </a:prstGeom>
                    <a:noFill/>
                    <a:ln w="9525">
                      <a:noFill/>
                      <a:miter lim="800000"/>
                      <a:headEnd/>
                      <a:tailEnd/>
                    </a:ln>
                  </pic:spPr>
                </pic:pic>
              </a:graphicData>
            </a:graphic>
          </wp:anchor>
        </w:drawing>
      </w:r>
      <w:r w:rsidR="008101D1">
        <w:rPr>
          <w:noProof/>
        </w:rPr>
        <w:drawing>
          <wp:inline distT="0" distB="0" distL="0" distR="0">
            <wp:extent cx="4423410" cy="3954780"/>
            <wp:effectExtent l="19050" t="0" r="0" b="0"/>
            <wp:docPr id="4" name="Picture 4" descr="C:\Users\Admin\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g.jpg"/>
                    <pic:cNvPicPr>
                      <a:picLocks noChangeAspect="1" noChangeArrowheads="1"/>
                    </pic:cNvPicPr>
                  </pic:nvPicPr>
                  <pic:blipFill>
                    <a:blip r:embed="rId10"/>
                    <a:srcRect/>
                    <a:stretch>
                      <a:fillRect/>
                    </a:stretch>
                  </pic:blipFill>
                  <pic:spPr bwMode="auto">
                    <a:xfrm>
                      <a:off x="0" y="0"/>
                      <a:ext cx="4423410" cy="3954780"/>
                    </a:xfrm>
                    <a:prstGeom prst="rect">
                      <a:avLst/>
                    </a:prstGeom>
                    <a:noFill/>
                    <a:ln w="9525">
                      <a:noFill/>
                      <a:miter lim="800000"/>
                      <a:headEnd/>
                      <a:tailEnd/>
                    </a:ln>
                  </pic:spPr>
                </pic:pic>
              </a:graphicData>
            </a:graphic>
          </wp:inline>
        </w:drawing>
      </w:r>
      <w:r w:rsidR="008A7631">
        <w:br w:type="textWrapping" w:clear="all"/>
      </w:r>
    </w:p>
    <w:sectPr w:rsidR="00BD4C5B" w:rsidSect="007D4092">
      <w:pgSz w:w="15120" w:h="10440" w:orient="landscape" w:code="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31"/>
    <w:rsid w:val="000237BF"/>
    <w:rsid w:val="002638ED"/>
    <w:rsid w:val="004018F3"/>
    <w:rsid w:val="00477128"/>
    <w:rsid w:val="004A7555"/>
    <w:rsid w:val="004C2FB8"/>
    <w:rsid w:val="006B5F24"/>
    <w:rsid w:val="007A4A16"/>
    <w:rsid w:val="007D4092"/>
    <w:rsid w:val="008101D1"/>
    <w:rsid w:val="008A7631"/>
    <w:rsid w:val="00917D84"/>
    <w:rsid w:val="00B81362"/>
    <w:rsid w:val="00BD4C5B"/>
    <w:rsid w:val="00F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FF15-F916-E249-AA74-F78A756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2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A76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7631"/>
    <w:rPr>
      <w:rFonts w:ascii="Tahoma" w:hAnsi="Tahoma" w:cs="Tahoma"/>
      <w:sz w:val="16"/>
      <w:szCs w:val="16"/>
    </w:rPr>
  </w:style>
  <w:style w:type="character" w:styleId="Hyperlink">
    <w:name w:val="Hyperlink"/>
    <w:basedOn w:val="Fontdeparagrafimplicit"/>
    <w:uiPriority w:val="99"/>
    <w:unhideWhenUsed/>
    <w:rsid w:val="008A7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 /><Relationship Id="rId3" Type="http://schemas.openxmlformats.org/officeDocument/2006/relationships/webSettings" Target="webSettings.xml" /><Relationship Id="rId7" Type="http://schemas.openxmlformats.org/officeDocument/2006/relationships/hyperlink" Target="http://www.mediu.ro"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madr.ro" TargetMode="External" /><Relationship Id="rId11" Type="http://schemas.openxmlformats.org/officeDocument/2006/relationships/fontTable" Target="fontTable.xml" /><Relationship Id="rId5" Type="http://schemas.openxmlformats.org/officeDocument/2006/relationships/image" Target="media/image2.jpeg" /><Relationship Id="rId10" Type="http://schemas.openxmlformats.org/officeDocument/2006/relationships/image" Target="media/image4.jpeg" /><Relationship Id="rId4" Type="http://schemas.openxmlformats.org/officeDocument/2006/relationships/image" Target="media/image1.jpe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Cristi Hinda</cp:lastModifiedBy>
  <cp:revision>2</cp:revision>
  <dcterms:created xsi:type="dcterms:W3CDTF">2022-04-07T19:57:00Z</dcterms:created>
  <dcterms:modified xsi:type="dcterms:W3CDTF">2022-04-07T19:57:00Z</dcterms:modified>
</cp:coreProperties>
</file>